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lang w:val="en-US" w:eastAsia="zh-CN"/>
        </w:rPr>
        <w:t>会理至禄劝高速公路项目（四川境）</w:t>
      </w:r>
      <w:r>
        <w:rPr>
          <w:rFonts w:hint="eastAsia" w:ascii="宋体" w:hAnsi="宋体" w:eastAsia="宋体" w:cs="宋体"/>
          <w:b/>
          <w:bCs/>
          <w:color w:val="auto"/>
          <w:sz w:val="44"/>
          <w:szCs w:val="44"/>
          <w:highlight w:val="none"/>
          <w:lang w:eastAsia="zh-CN"/>
        </w:rPr>
        <w:t>第三方安全技术咨询服务</w:t>
      </w: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72"/>
          <w:szCs w:val="144"/>
          <w:highlight w:val="none"/>
        </w:rPr>
      </w:pPr>
      <w:r>
        <w:rPr>
          <w:rFonts w:hint="eastAsia" w:ascii="宋体" w:hAnsi="宋体" w:eastAsia="宋体" w:cs="宋体"/>
          <w:b/>
          <w:bCs/>
          <w:color w:val="auto"/>
          <w:sz w:val="72"/>
          <w:szCs w:val="144"/>
          <w:highlight w:val="none"/>
          <w:lang w:eastAsia="zh-CN"/>
        </w:rPr>
        <w:t>比选</w:t>
      </w:r>
      <w:r>
        <w:rPr>
          <w:rFonts w:hint="eastAsia" w:ascii="宋体" w:hAnsi="宋体" w:eastAsia="宋体" w:cs="宋体"/>
          <w:b/>
          <w:bCs/>
          <w:color w:val="auto"/>
          <w:sz w:val="72"/>
          <w:szCs w:val="144"/>
          <w:highlight w:val="none"/>
        </w:rPr>
        <w:t>文件</w:t>
      </w:r>
    </w:p>
    <w:p>
      <w:pPr>
        <w:jc w:val="center"/>
        <w:rPr>
          <w:rFonts w:hint="eastAsia" w:ascii="宋体" w:hAnsi="宋体" w:eastAsia="宋体" w:cs="宋体"/>
          <w:b/>
          <w:bCs/>
          <w:color w:val="auto"/>
          <w:sz w:val="56"/>
          <w:szCs w:val="96"/>
          <w:highlight w:val="none"/>
        </w:rPr>
      </w:pPr>
    </w:p>
    <w:p>
      <w:pPr>
        <w:jc w:val="center"/>
        <w:rPr>
          <w:rFonts w:hint="eastAsia" w:ascii="宋体" w:hAnsi="宋体" w:eastAsia="宋体" w:cs="宋体"/>
          <w:b/>
          <w:bCs/>
          <w:color w:val="auto"/>
          <w:sz w:val="56"/>
          <w:szCs w:val="96"/>
          <w:highlight w:val="none"/>
        </w:rPr>
      </w:pPr>
    </w:p>
    <w:p>
      <w:pPr>
        <w:jc w:val="center"/>
        <w:rPr>
          <w:rFonts w:hint="eastAsia" w:ascii="宋体" w:hAnsi="宋体" w:eastAsia="宋体" w:cs="宋体"/>
          <w:b/>
          <w:bCs/>
          <w:color w:val="auto"/>
          <w:sz w:val="56"/>
          <w:szCs w:val="96"/>
          <w:highlight w:val="none"/>
        </w:rPr>
      </w:pPr>
    </w:p>
    <w:p>
      <w:pPr>
        <w:jc w:val="center"/>
        <w:rPr>
          <w:rFonts w:hint="eastAsia" w:ascii="宋体" w:hAnsi="宋体" w:eastAsia="宋体" w:cs="宋体"/>
          <w:b/>
          <w:bCs/>
          <w:color w:val="auto"/>
          <w:sz w:val="56"/>
          <w:szCs w:val="96"/>
          <w:highlight w:val="none"/>
        </w:rPr>
      </w:pPr>
    </w:p>
    <w:p>
      <w:pPr>
        <w:jc w:val="center"/>
        <w:rPr>
          <w:rFonts w:hint="eastAsia" w:ascii="宋体" w:hAnsi="宋体" w:eastAsia="宋体" w:cs="宋体"/>
          <w:b/>
          <w:bCs/>
          <w:color w:val="auto"/>
          <w:sz w:val="56"/>
          <w:szCs w:val="96"/>
          <w:highlight w:val="none"/>
        </w:rPr>
      </w:pPr>
    </w:p>
    <w:p>
      <w:pPr>
        <w:jc w:val="center"/>
        <w:rPr>
          <w:rFonts w:hint="eastAsia" w:ascii="宋体" w:hAnsi="宋体" w:eastAsia="宋体" w:cs="宋体"/>
          <w:b/>
          <w:bCs/>
          <w:color w:val="auto"/>
          <w:sz w:val="32"/>
          <w:szCs w:val="40"/>
          <w:highlight w:val="none"/>
          <w:lang w:eastAsia="zh-CN"/>
        </w:rPr>
      </w:pPr>
      <w:r>
        <w:rPr>
          <w:rFonts w:hint="eastAsia" w:ascii="宋体" w:hAnsi="宋体" w:eastAsia="宋体" w:cs="宋体"/>
          <w:b/>
          <w:bCs/>
          <w:color w:val="auto"/>
          <w:sz w:val="32"/>
          <w:szCs w:val="40"/>
          <w:highlight w:val="none"/>
          <w:lang w:eastAsia="zh-CN"/>
        </w:rPr>
        <w:t>比选</w:t>
      </w:r>
      <w:r>
        <w:rPr>
          <w:rFonts w:hint="eastAsia" w:ascii="宋体" w:hAnsi="宋体" w:eastAsia="宋体" w:cs="宋体"/>
          <w:b/>
          <w:bCs/>
          <w:color w:val="auto"/>
          <w:sz w:val="32"/>
          <w:szCs w:val="40"/>
          <w:highlight w:val="none"/>
        </w:rPr>
        <w:t>人：</w:t>
      </w:r>
      <w:r>
        <w:rPr>
          <w:rFonts w:hint="eastAsia" w:ascii="宋体" w:hAnsi="宋体" w:eastAsia="宋体" w:cs="宋体"/>
          <w:b/>
          <w:bCs/>
          <w:color w:val="auto"/>
          <w:sz w:val="32"/>
          <w:szCs w:val="40"/>
          <w:highlight w:val="none"/>
          <w:lang w:eastAsia="zh-CN"/>
        </w:rPr>
        <w:t>四川</w:t>
      </w:r>
      <w:r>
        <w:rPr>
          <w:rFonts w:hint="eastAsia" w:ascii="宋体" w:hAnsi="宋体" w:eastAsia="宋体" w:cs="宋体"/>
          <w:b/>
          <w:bCs/>
          <w:color w:val="auto"/>
          <w:sz w:val="32"/>
          <w:szCs w:val="40"/>
          <w:highlight w:val="none"/>
          <w:lang w:val="en-US" w:eastAsia="zh-CN"/>
        </w:rPr>
        <w:t>会禄</w:t>
      </w:r>
      <w:r>
        <w:rPr>
          <w:rFonts w:hint="eastAsia" w:ascii="宋体" w:hAnsi="宋体" w:eastAsia="宋体" w:cs="宋体"/>
          <w:b/>
          <w:bCs/>
          <w:color w:val="auto"/>
          <w:sz w:val="32"/>
          <w:szCs w:val="40"/>
          <w:highlight w:val="none"/>
          <w:lang w:eastAsia="zh-CN"/>
        </w:rPr>
        <w:t>高速公路有限公司</w:t>
      </w:r>
    </w:p>
    <w:p>
      <w:pPr>
        <w:jc w:val="center"/>
        <w:rPr>
          <w:rFonts w:hint="eastAsia" w:ascii="宋体" w:hAnsi="宋体" w:eastAsia="宋体" w:cs="宋体"/>
          <w:b/>
          <w:bCs/>
          <w:color w:val="auto"/>
          <w:sz w:val="32"/>
          <w:szCs w:val="40"/>
          <w:highlight w:val="none"/>
        </w:rPr>
      </w:pPr>
      <w:r>
        <w:rPr>
          <w:rFonts w:hint="eastAsia" w:ascii="宋体" w:hAnsi="宋体" w:eastAsia="宋体" w:cs="宋体"/>
          <w:b/>
          <w:bCs/>
          <w:color w:val="auto"/>
          <w:sz w:val="32"/>
          <w:szCs w:val="40"/>
          <w:highlight w:val="none"/>
        </w:rPr>
        <w:t>202</w:t>
      </w:r>
      <w:r>
        <w:rPr>
          <w:rFonts w:hint="eastAsia" w:ascii="宋体" w:hAnsi="宋体" w:eastAsia="宋体" w:cs="宋体"/>
          <w:b/>
          <w:bCs/>
          <w:color w:val="auto"/>
          <w:sz w:val="32"/>
          <w:szCs w:val="40"/>
          <w:highlight w:val="none"/>
          <w:lang w:val="en-US" w:eastAsia="zh-CN"/>
        </w:rPr>
        <w:t>4</w:t>
      </w:r>
      <w:r>
        <w:rPr>
          <w:rFonts w:hint="eastAsia" w:ascii="宋体" w:hAnsi="宋体" w:eastAsia="宋体" w:cs="宋体"/>
          <w:b/>
          <w:bCs/>
          <w:color w:val="auto"/>
          <w:sz w:val="32"/>
          <w:szCs w:val="40"/>
          <w:highlight w:val="none"/>
        </w:rPr>
        <w:t>年</w:t>
      </w:r>
      <w:r>
        <w:rPr>
          <w:rFonts w:hint="eastAsia" w:ascii="宋体" w:hAnsi="宋体" w:eastAsia="宋体" w:cs="宋体"/>
          <w:b/>
          <w:bCs/>
          <w:color w:val="auto"/>
          <w:sz w:val="32"/>
          <w:szCs w:val="40"/>
          <w:highlight w:val="none"/>
          <w:lang w:val="en-US" w:eastAsia="zh-CN"/>
        </w:rPr>
        <w:t>6</w:t>
      </w:r>
      <w:r>
        <w:rPr>
          <w:rFonts w:hint="eastAsia" w:ascii="宋体" w:hAnsi="宋体" w:eastAsia="宋体" w:cs="宋体"/>
          <w:b/>
          <w:bCs/>
          <w:color w:val="auto"/>
          <w:sz w:val="32"/>
          <w:szCs w:val="40"/>
          <w:highlight w:val="none"/>
        </w:rPr>
        <w:t>月</w:t>
      </w:r>
    </w:p>
    <w:p>
      <w:pPr>
        <w:rPr>
          <w:rFonts w:hint="eastAsia" w:ascii="宋体" w:hAnsi="宋体" w:eastAsia="宋体" w:cs="宋体"/>
          <w:b/>
          <w:bCs/>
          <w:color w:val="auto"/>
          <w:sz w:val="36"/>
          <w:szCs w:val="44"/>
          <w:highlight w:val="none"/>
        </w:rPr>
      </w:pPr>
      <w:r>
        <w:rPr>
          <w:rFonts w:hint="eastAsia" w:ascii="宋体" w:hAnsi="宋体" w:eastAsia="宋体" w:cs="宋体"/>
          <w:b/>
          <w:bCs/>
          <w:color w:val="auto"/>
          <w:sz w:val="36"/>
          <w:szCs w:val="44"/>
          <w:highlight w:val="none"/>
        </w:rPr>
        <w:br w:type="page"/>
      </w:r>
    </w:p>
    <w:sdt>
      <w:sdtPr>
        <w:rPr>
          <w:rFonts w:ascii="宋体" w:hAnsi="宋体" w:eastAsia="宋体" w:cstheme="minorBidi"/>
          <w:b/>
          <w:bCs/>
          <w:color w:val="auto"/>
          <w:kern w:val="2"/>
          <w:sz w:val="21"/>
          <w:szCs w:val="24"/>
          <w:highlight w:val="none"/>
          <w:lang w:val="en-US" w:eastAsia="zh-CN" w:bidi="ar-SA"/>
        </w:rPr>
        <w:id w:val="147466339"/>
        <w15:color w:val="DBDBDB"/>
        <w:docPartObj>
          <w:docPartGallery w:val="Table of Contents"/>
          <w:docPartUnique/>
        </w:docPartObj>
      </w:sdtPr>
      <w:sdtEndPr>
        <w:rPr>
          <w:rFonts w:hint="eastAsia" w:ascii="宋体" w:hAnsi="宋体" w:eastAsia="宋体" w:cs="宋体"/>
          <w:b/>
          <w:bCs/>
          <w:color w:val="auto"/>
          <w:kern w:val="2"/>
          <w:sz w:val="21"/>
          <w:szCs w:val="36"/>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highlight w:val="none"/>
            </w:rPr>
          </w:pPr>
          <w:r>
            <w:rPr>
              <w:rFonts w:ascii="宋体" w:hAnsi="宋体" w:eastAsia="宋体"/>
              <w:b/>
              <w:bCs/>
              <w:color w:val="auto"/>
              <w:sz w:val="36"/>
              <w:szCs w:val="36"/>
              <w:highlight w:val="none"/>
            </w:rPr>
            <w:t>目</w:t>
          </w:r>
          <w:r>
            <w:rPr>
              <w:rFonts w:hint="eastAsia" w:ascii="宋体" w:hAnsi="宋体" w:eastAsia="宋体"/>
              <w:b/>
              <w:bCs/>
              <w:color w:val="auto"/>
              <w:sz w:val="36"/>
              <w:szCs w:val="36"/>
              <w:highlight w:val="none"/>
              <w:lang w:val="en-US" w:eastAsia="zh-CN"/>
            </w:rPr>
            <w:t xml:space="preserve">  </w:t>
          </w:r>
          <w:r>
            <w:rPr>
              <w:rFonts w:ascii="宋体" w:hAnsi="宋体" w:eastAsia="宋体"/>
              <w:b/>
              <w:bCs/>
              <w:color w:val="auto"/>
              <w:sz w:val="36"/>
              <w:szCs w:val="36"/>
              <w:highlight w:val="none"/>
            </w:rPr>
            <w:t>录</w:t>
          </w:r>
        </w:p>
        <w:p>
          <w:pPr>
            <w:pStyle w:val="2"/>
            <w:tabs>
              <w:tab w:val="right" w:leader="dot" w:pos="9240"/>
            </w:tabs>
            <w:spacing w:line="360" w:lineRule="auto"/>
            <w:rPr>
              <w:color w:val="auto"/>
              <w:sz w:val="28"/>
              <w:szCs w:val="28"/>
              <w:highlight w:val="none"/>
            </w:rPr>
          </w:pPr>
          <w:r>
            <w:rPr>
              <w:rFonts w:hint="eastAsia" w:ascii="宋体" w:hAnsi="宋体" w:eastAsia="宋体" w:cs="宋体"/>
              <w:b/>
              <w:bCs/>
              <w:color w:val="auto"/>
              <w:sz w:val="28"/>
              <w:szCs w:val="36"/>
              <w:highlight w:val="none"/>
            </w:rPr>
            <w:fldChar w:fldCharType="begin"/>
          </w:r>
          <w:r>
            <w:rPr>
              <w:rFonts w:hint="eastAsia" w:ascii="宋体" w:hAnsi="宋体" w:eastAsia="宋体" w:cs="宋体"/>
              <w:b/>
              <w:bCs/>
              <w:color w:val="auto"/>
              <w:sz w:val="28"/>
              <w:szCs w:val="36"/>
              <w:highlight w:val="none"/>
            </w:rPr>
            <w:instrText xml:space="preserve">TOC \o "1-1" \h \u </w:instrText>
          </w:r>
          <w:r>
            <w:rPr>
              <w:rFonts w:hint="eastAsia" w:ascii="宋体" w:hAnsi="宋体" w:eastAsia="宋体" w:cs="宋体"/>
              <w:b/>
              <w:bCs/>
              <w:color w:val="auto"/>
              <w:sz w:val="28"/>
              <w:szCs w:val="36"/>
              <w:highlight w:val="none"/>
            </w:rPr>
            <w:fldChar w:fldCharType="separate"/>
          </w:r>
          <w:r>
            <w:rPr>
              <w:rFonts w:hint="eastAsia" w:ascii="宋体" w:hAnsi="宋体" w:eastAsia="宋体" w:cs="宋体"/>
              <w:bCs/>
              <w:color w:val="auto"/>
              <w:sz w:val="28"/>
              <w:szCs w:val="28"/>
              <w:highlight w:val="none"/>
            </w:rPr>
            <w:fldChar w:fldCharType="begin"/>
          </w:r>
          <w:r>
            <w:rPr>
              <w:rFonts w:hint="eastAsia" w:ascii="宋体" w:hAnsi="宋体" w:eastAsia="宋体" w:cs="宋体"/>
              <w:bCs/>
              <w:color w:val="auto"/>
              <w:sz w:val="28"/>
              <w:szCs w:val="28"/>
              <w:highlight w:val="none"/>
            </w:rPr>
            <w:instrText xml:space="preserve"> HYPERLINK \l _Toc9991 </w:instrText>
          </w:r>
          <w:r>
            <w:rPr>
              <w:rFonts w:hint="eastAsia" w:ascii="宋体" w:hAnsi="宋体" w:eastAsia="宋体" w:cs="宋体"/>
              <w:bCs/>
              <w:color w:val="auto"/>
              <w:sz w:val="28"/>
              <w:szCs w:val="28"/>
              <w:highlight w:val="none"/>
            </w:rPr>
            <w:fldChar w:fldCharType="separate"/>
          </w:r>
          <w:r>
            <w:rPr>
              <w:rFonts w:hint="eastAsia" w:ascii="宋体" w:hAnsi="宋体" w:eastAsia="宋体" w:cs="宋体"/>
              <w:bCs/>
              <w:color w:val="auto"/>
              <w:sz w:val="28"/>
              <w:szCs w:val="28"/>
              <w:highlight w:val="none"/>
            </w:rPr>
            <w:t xml:space="preserve">第一章 </w:t>
          </w:r>
          <w:r>
            <w:rPr>
              <w:rFonts w:hint="eastAsia" w:ascii="宋体" w:hAnsi="宋体" w:eastAsia="宋体" w:cs="宋体"/>
              <w:bCs/>
              <w:color w:val="auto"/>
              <w:sz w:val="28"/>
              <w:szCs w:val="28"/>
              <w:highlight w:val="none"/>
              <w:lang w:eastAsia="zh-CN"/>
            </w:rPr>
            <w:t>比选</w:t>
          </w:r>
          <w:r>
            <w:rPr>
              <w:rFonts w:hint="eastAsia" w:ascii="宋体" w:hAnsi="宋体" w:eastAsia="宋体" w:cs="宋体"/>
              <w:bCs/>
              <w:color w:val="auto"/>
              <w:sz w:val="28"/>
              <w:szCs w:val="28"/>
              <w:highlight w:val="none"/>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_Toc9991 \h </w:instrText>
          </w:r>
          <w:r>
            <w:rPr>
              <w:color w:val="auto"/>
              <w:sz w:val="28"/>
              <w:szCs w:val="28"/>
              <w:highlight w:val="none"/>
            </w:rPr>
            <w:fldChar w:fldCharType="separate"/>
          </w:r>
          <w:r>
            <w:rPr>
              <w:color w:val="auto"/>
              <w:sz w:val="28"/>
              <w:szCs w:val="28"/>
              <w:highlight w:val="none"/>
            </w:rPr>
            <w:t>1</w:t>
          </w:r>
          <w:r>
            <w:rPr>
              <w:color w:val="auto"/>
              <w:sz w:val="28"/>
              <w:szCs w:val="28"/>
              <w:highlight w:val="none"/>
            </w:rPr>
            <w:fldChar w:fldCharType="end"/>
          </w:r>
          <w:r>
            <w:rPr>
              <w:rFonts w:hint="eastAsia" w:ascii="宋体" w:hAnsi="宋体" w:eastAsia="宋体" w:cs="宋体"/>
              <w:bCs/>
              <w:color w:val="auto"/>
              <w:sz w:val="28"/>
              <w:szCs w:val="28"/>
              <w:highlight w:val="none"/>
            </w:rPr>
            <w:fldChar w:fldCharType="end"/>
          </w:r>
        </w:p>
        <w:p>
          <w:pPr>
            <w:pStyle w:val="2"/>
            <w:tabs>
              <w:tab w:val="right" w:leader="dot" w:pos="9240"/>
            </w:tabs>
            <w:spacing w:line="360" w:lineRule="auto"/>
            <w:rPr>
              <w:color w:val="auto"/>
              <w:sz w:val="28"/>
              <w:szCs w:val="28"/>
              <w:highlight w:val="none"/>
            </w:rPr>
          </w:pPr>
          <w:r>
            <w:rPr>
              <w:rFonts w:hint="eastAsia" w:ascii="宋体" w:hAnsi="宋体" w:eastAsia="宋体" w:cs="宋体"/>
              <w:bCs/>
              <w:color w:val="auto"/>
              <w:sz w:val="28"/>
              <w:szCs w:val="28"/>
              <w:highlight w:val="none"/>
            </w:rPr>
            <w:fldChar w:fldCharType="begin"/>
          </w:r>
          <w:r>
            <w:rPr>
              <w:rFonts w:hint="eastAsia" w:ascii="宋体" w:hAnsi="宋体" w:eastAsia="宋体" w:cs="宋体"/>
              <w:bCs/>
              <w:color w:val="auto"/>
              <w:sz w:val="28"/>
              <w:szCs w:val="28"/>
              <w:highlight w:val="none"/>
            </w:rPr>
            <w:instrText xml:space="preserve"> HYPERLINK \l _Toc29019 </w:instrText>
          </w:r>
          <w:r>
            <w:rPr>
              <w:rFonts w:hint="eastAsia" w:ascii="宋体" w:hAnsi="宋体" w:eastAsia="宋体" w:cs="宋体"/>
              <w:bCs/>
              <w:color w:val="auto"/>
              <w:sz w:val="28"/>
              <w:szCs w:val="28"/>
              <w:highlight w:val="none"/>
            </w:rPr>
            <w:fldChar w:fldCharType="separate"/>
          </w:r>
          <w:r>
            <w:rPr>
              <w:rFonts w:hint="eastAsia" w:ascii="宋体" w:hAnsi="宋体" w:eastAsia="宋体" w:cs="宋体"/>
              <w:bCs/>
              <w:color w:val="auto"/>
              <w:sz w:val="28"/>
              <w:szCs w:val="28"/>
              <w:highlight w:val="none"/>
            </w:rPr>
            <w:t xml:space="preserve">第二章 </w:t>
          </w:r>
          <w:r>
            <w:rPr>
              <w:rFonts w:hint="eastAsia" w:ascii="宋体" w:hAnsi="宋体" w:eastAsia="宋体" w:cs="宋体"/>
              <w:bCs/>
              <w:color w:val="auto"/>
              <w:sz w:val="28"/>
              <w:szCs w:val="28"/>
              <w:highlight w:val="none"/>
              <w:lang w:eastAsia="zh-CN"/>
            </w:rPr>
            <w:t>投标人</w:t>
          </w:r>
          <w:r>
            <w:rPr>
              <w:rFonts w:hint="eastAsia" w:ascii="宋体" w:hAnsi="宋体" w:eastAsia="宋体" w:cs="宋体"/>
              <w:bCs/>
              <w:color w:val="auto"/>
              <w:sz w:val="28"/>
              <w:szCs w:val="28"/>
              <w:highlight w:val="none"/>
            </w:rPr>
            <w:t>须知</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_Toc29019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rFonts w:hint="eastAsia" w:ascii="宋体" w:hAnsi="宋体" w:eastAsia="宋体" w:cs="宋体"/>
              <w:bCs/>
              <w:color w:val="auto"/>
              <w:sz w:val="28"/>
              <w:szCs w:val="28"/>
              <w:highlight w:val="none"/>
            </w:rPr>
            <w:fldChar w:fldCharType="end"/>
          </w:r>
        </w:p>
        <w:p>
          <w:pPr>
            <w:pStyle w:val="2"/>
            <w:tabs>
              <w:tab w:val="right" w:leader="dot" w:pos="9240"/>
            </w:tabs>
            <w:spacing w:line="360" w:lineRule="auto"/>
            <w:rPr>
              <w:color w:val="auto"/>
              <w:sz w:val="28"/>
              <w:szCs w:val="28"/>
              <w:highlight w:val="none"/>
            </w:rPr>
          </w:pPr>
          <w:r>
            <w:rPr>
              <w:rFonts w:hint="eastAsia" w:ascii="宋体" w:hAnsi="宋体" w:eastAsia="宋体" w:cs="宋体"/>
              <w:bCs/>
              <w:color w:val="auto"/>
              <w:sz w:val="28"/>
              <w:szCs w:val="28"/>
              <w:highlight w:val="none"/>
            </w:rPr>
            <w:fldChar w:fldCharType="begin"/>
          </w:r>
          <w:r>
            <w:rPr>
              <w:rFonts w:hint="eastAsia" w:ascii="宋体" w:hAnsi="宋体" w:eastAsia="宋体" w:cs="宋体"/>
              <w:bCs/>
              <w:color w:val="auto"/>
              <w:sz w:val="28"/>
              <w:szCs w:val="28"/>
              <w:highlight w:val="none"/>
            </w:rPr>
            <w:instrText xml:space="preserve"> HYPERLINK \l _Toc30373 </w:instrText>
          </w:r>
          <w:r>
            <w:rPr>
              <w:rFonts w:hint="eastAsia" w:ascii="宋体" w:hAnsi="宋体" w:eastAsia="宋体" w:cs="宋体"/>
              <w:bCs/>
              <w:color w:val="auto"/>
              <w:sz w:val="28"/>
              <w:szCs w:val="28"/>
              <w:highlight w:val="none"/>
            </w:rPr>
            <w:fldChar w:fldCharType="separate"/>
          </w:r>
          <w:r>
            <w:rPr>
              <w:rFonts w:hint="eastAsia" w:ascii="宋体" w:hAnsi="宋体" w:eastAsia="宋体" w:cs="宋体"/>
              <w:bCs/>
              <w:color w:val="auto"/>
              <w:sz w:val="28"/>
              <w:szCs w:val="28"/>
              <w:highlight w:val="none"/>
            </w:rPr>
            <w:t xml:space="preserve">第三章 </w:t>
          </w:r>
          <w:r>
            <w:rPr>
              <w:rFonts w:hint="eastAsia" w:ascii="宋体" w:hAnsi="宋体" w:eastAsia="宋体" w:cs="宋体"/>
              <w:bCs/>
              <w:color w:val="auto"/>
              <w:sz w:val="28"/>
              <w:szCs w:val="28"/>
              <w:highlight w:val="none"/>
              <w:lang w:eastAsia="zh-CN"/>
            </w:rPr>
            <w:t>评审</w:t>
          </w:r>
          <w:r>
            <w:rPr>
              <w:rFonts w:hint="eastAsia" w:ascii="宋体" w:hAnsi="宋体" w:eastAsia="宋体" w:cs="宋体"/>
              <w:bCs/>
              <w:color w:val="auto"/>
              <w:sz w:val="28"/>
              <w:szCs w:val="28"/>
              <w:highlight w:val="none"/>
            </w:rPr>
            <w:t>办法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_Toc30373 \h </w:instrText>
          </w:r>
          <w:r>
            <w:rPr>
              <w:color w:val="auto"/>
              <w:sz w:val="28"/>
              <w:szCs w:val="28"/>
              <w:highlight w:val="none"/>
            </w:rPr>
            <w:fldChar w:fldCharType="separate"/>
          </w:r>
          <w:r>
            <w:rPr>
              <w:color w:val="auto"/>
              <w:sz w:val="28"/>
              <w:szCs w:val="28"/>
              <w:highlight w:val="none"/>
            </w:rPr>
            <w:t>13</w:t>
          </w:r>
          <w:r>
            <w:rPr>
              <w:color w:val="auto"/>
              <w:sz w:val="28"/>
              <w:szCs w:val="28"/>
              <w:highlight w:val="none"/>
            </w:rPr>
            <w:fldChar w:fldCharType="end"/>
          </w:r>
          <w:r>
            <w:rPr>
              <w:rFonts w:hint="eastAsia" w:ascii="宋体" w:hAnsi="宋体" w:eastAsia="宋体" w:cs="宋体"/>
              <w:bCs/>
              <w:color w:val="auto"/>
              <w:sz w:val="28"/>
              <w:szCs w:val="28"/>
              <w:highlight w:val="none"/>
            </w:rPr>
            <w:fldChar w:fldCharType="end"/>
          </w:r>
        </w:p>
        <w:p>
          <w:pPr>
            <w:pStyle w:val="2"/>
            <w:tabs>
              <w:tab w:val="right" w:leader="dot" w:pos="9240"/>
            </w:tabs>
            <w:spacing w:line="360" w:lineRule="auto"/>
            <w:rPr>
              <w:color w:val="auto"/>
              <w:sz w:val="28"/>
              <w:szCs w:val="28"/>
              <w:highlight w:val="none"/>
            </w:rPr>
          </w:pPr>
          <w:r>
            <w:rPr>
              <w:rFonts w:hint="eastAsia" w:ascii="宋体" w:hAnsi="宋体" w:eastAsia="宋体" w:cs="宋体"/>
              <w:bCs/>
              <w:color w:val="auto"/>
              <w:sz w:val="28"/>
              <w:szCs w:val="28"/>
              <w:highlight w:val="none"/>
            </w:rPr>
            <w:fldChar w:fldCharType="begin"/>
          </w:r>
          <w:r>
            <w:rPr>
              <w:rFonts w:hint="eastAsia" w:ascii="宋体" w:hAnsi="宋体" w:eastAsia="宋体" w:cs="宋体"/>
              <w:bCs/>
              <w:color w:val="auto"/>
              <w:sz w:val="28"/>
              <w:szCs w:val="28"/>
              <w:highlight w:val="none"/>
            </w:rPr>
            <w:instrText xml:space="preserve"> HYPERLINK \l _Toc10277 </w:instrText>
          </w:r>
          <w:r>
            <w:rPr>
              <w:rFonts w:hint="eastAsia" w:ascii="宋体" w:hAnsi="宋体" w:eastAsia="宋体" w:cs="宋体"/>
              <w:bCs/>
              <w:color w:val="auto"/>
              <w:sz w:val="28"/>
              <w:szCs w:val="28"/>
              <w:highlight w:val="none"/>
            </w:rPr>
            <w:fldChar w:fldCharType="separate"/>
          </w:r>
          <w:r>
            <w:rPr>
              <w:rFonts w:hint="eastAsia" w:ascii="宋体" w:hAnsi="宋体" w:eastAsia="宋体" w:cs="宋体"/>
              <w:bCs/>
              <w:color w:val="auto"/>
              <w:kern w:val="44"/>
              <w:sz w:val="28"/>
              <w:szCs w:val="28"/>
              <w:highlight w:val="none"/>
            </w:rPr>
            <w:t>第四章 合同条款及格式</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_Toc10277 \h </w:instrText>
          </w:r>
          <w:r>
            <w:rPr>
              <w:color w:val="auto"/>
              <w:sz w:val="28"/>
              <w:szCs w:val="28"/>
              <w:highlight w:val="none"/>
            </w:rPr>
            <w:fldChar w:fldCharType="separate"/>
          </w:r>
          <w:r>
            <w:rPr>
              <w:color w:val="auto"/>
              <w:sz w:val="28"/>
              <w:szCs w:val="28"/>
              <w:highlight w:val="none"/>
            </w:rPr>
            <w:t>18</w:t>
          </w:r>
          <w:r>
            <w:rPr>
              <w:color w:val="auto"/>
              <w:sz w:val="28"/>
              <w:szCs w:val="28"/>
              <w:highlight w:val="none"/>
            </w:rPr>
            <w:fldChar w:fldCharType="end"/>
          </w:r>
          <w:r>
            <w:rPr>
              <w:rFonts w:hint="eastAsia" w:ascii="宋体" w:hAnsi="宋体" w:eastAsia="宋体" w:cs="宋体"/>
              <w:bCs/>
              <w:color w:val="auto"/>
              <w:sz w:val="28"/>
              <w:szCs w:val="28"/>
              <w:highlight w:val="none"/>
            </w:rPr>
            <w:fldChar w:fldCharType="end"/>
          </w:r>
        </w:p>
        <w:p>
          <w:pPr>
            <w:pStyle w:val="2"/>
            <w:tabs>
              <w:tab w:val="right" w:leader="dot" w:pos="9240"/>
            </w:tabs>
            <w:spacing w:line="360" w:lineRule="auto"/>
            <w:rPr>
              <w:color w:val="auto"/>
              <w:sz w:val="28"/>
              <w:szCs w:val="28"/>
              <w:highlight w:val="none"/>
            </w:rPr>
          </w:pPr>
          <w:r>
            <w:rPr>
              <w:rFonts w:hint="eastAsia" w:ascii="宋体" w:hAnsi="宋体" w:eastAsia="宋体" w:cs="宋体"/>
              <w:bCs/>
              <w:color w:val="auto"/>
              <w:sz w:val="28"/>
              <w:szCs w:val="28"/>
              <w:highlight w:val="none"/>
            </w:rPr>
            <w:fldChar w:fldCharType="begin"/>
          </w:r>
          <w:r>
            <w:rPr>
              <w:rFonts w:hint="eastAsia" w:ascii="宋体" w:hAnsi="宋体" w:eastAsia="宋体" w:cs="宋体"/>
              <w:bCs/>
              <w:color w:val="auto"/>
              <w:sz w:val="28"/>
              <w:szCs w:val="28"/>
              <w:highlight w:val="none"/>
            </w:rPr>
            <w:instrText xml:space="preserve"> HYPERLINK \l _Toc17657 </w:instrText>
          </w:r>
          <w:r>
            <w:rPr>
              <w:rFonts w:hint="eastAsia" w:ascii="宋体" w:hAnsi="宋体" w:eastAsia="宋体" w:cs="宋体"/>
              <w:bCs/>
              <w:color w:val="auto"/>
              <w:sz w:val="28"/>
              <w:szCs w:val="28"/>
              <w:highlight w:val="none"/>
            </w:rPr>
            <w:fldChar w:fldCharType="separate"/>
          </w:r>
          <w:r>
            <w:rPr>
              <w:rFonts w:hint="eastAsia" w:ascii="宋体" w:hAnsi="宋体" w:eastAsia="宋体" w:cs="宋体"/>
              <w:bCs/>
              <w:color w:val="auto"/>
              <w:sz w:val="28"/>
              <w:szCs w:val="28"/>
              <w:highlight w:val="none"/>
              <w:lang w:eastAsia="zh-CN"/>
            </w:rPr>
            <w:t>第五章</w:t>
          </w:r>
          <w:r>
            <w:rPr>
              <w:rFonts w:hint="eastAsia" w:ascii="宋体" w:hAnsi="宋体" w:eastAsia="宋体" w:cs="宋体"/>
              <w:bCs/>
              <w:color w:val="auto"/>
              <w:sz w:val="28"/>
              <w:szCs w:val="28"/>
              <w:highlight w:val="none"/>
            </w:rPr>
            <w:t xml:space="preserve"> </w:t>
          </w:r>
          <w:r>
            <w:rPr>
              <w:rFonts w:hint="eastAsia" w:ascii="宋体" w:hAnsi="宋体" w:eastAsia="宋体" w:cs="宋体"/>
              <w:bCs/>
              <w:color w:val="auto"/>
              <w:sz w:val="28"/>
              <w:szCs w:val="28"/>
              <w:highlight w:val="none"/>
              <w:lang w:eastAsia="zh-CN"/>
            </w:rPr>
            <w:t>比选申请文件</w:t>
          </w:r>
          <w:r>
            <w:rPr>
              <w:rFonts w:hint="eastAsia" w:ascii="宋体" w:hAnsi="宋体" w:eastAsia="宋体" w:cs="宋体"/>
              <w:bCs/>
              <w:color w:val="auto"/>
              <w:sz w:val="28"/>
              <w:szCs w:val="28"/>
              <w:highlight w:val="none"/>
            </w:rPr>
            <w:t>格式</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_Toc17657 \h </w:instrText>
          </w:r>
          <w:r>
            <w:rPr>
              <w:color w:val="auto"/>
              <w:sz w:val="28"/>
              <w:szCs w:val="28"/>
              <w:highlight w:val="none"/>
            </w:rPr>
            <w:fldChar w:fldCharType="separate"/>
          </w:r>
          <w:r>
            <w:rPr>
              <w:color w:val="auto"/>
              <w:sz w:val="28"/>
              <w:szCs w:val="28"/>
              <w:highlight w:val="none"/>
            </w:rPr>
            <w:t>24</w:t>
          </w:r>
          <w:r>
            <w:rPr>
              <w:color w:val="auto"/>
              <w:sz w:val="28"/>
              <w:szCs w:val="28"/>
              <w:highlight w:val="none"/>
            </w:rPr>
            <w:fldChar w:fldCharType="end"/>
          </w:r>
          <w:r>
            <w:rPr>
              <w:rFonts w:hint="eastAsia" w:ascii="宋体" w:hAnsi="宋体" w:eastAsia="宋体" w:cs="宋体"/>
              <w:bCs/>
              <w:color w:val="auto"/>
              <w:sz w:val="28"/>
              <w:szCs w:val="28"/>
              <w:highlight w:val="none"/>
            </w:rPr>
            <w:fldChar w:fldCharType="end"/>
          </w:r>
        </w:p>
        <w:p>
          <w:pPr>
            <w:jc w:val="left"/>
            <w:rPr>
              <w:rFonts w:hint="eastAsia" w:ascii="宋体" w:hAnsi="宋体" w:eastAsia="宋体" w:cs="宋体"/>
              <w:b/>
              <w:bCs/>
              <w:color w:val="auto"/>
              <w:sz w:val="28"/>
              <w:szCs w:val="36"/>
              <w:highlight w:val="none"/>
            </w:rPr>
          </w:pPr>
          <w:r>
            <w:rPr>
              <w:rFonts w:hint="eastAsia" w:ascii="宋体" w:hAnsi="宋体" w:eastAsia="宋体" w:cs="宋体"/>
              <w:bCs/>
              <w:color w:val="auto"/>
              <w:szCs w:val="36"/>
              <w:highlight w:val="none"/>
            </w:rPr>
            <w:fldChar w:fldCharType="end"/>
          </w:r>
        </w:p>
      </w:sdtContent>
    </w:sdt>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center"/>
        <w:rPr>
          <w:rFonts w:hint="eastAsia" w:ascii="宋体" w:hAnsi="宋体" w:eastAsia="宋体" w:cs="宋体"/>
          <w:b/>
          <w:bCs/>
          <w:color w:val="auto"/>
          <w:sz w:val="32"/>
          <w:szCs w:val="40"/>
          <w:highlight w:val="none"/>
        </w:rPr>
        <w:sectPr>
          <w:pgSz w:w="11906" w:h="16838"/>
          <w:pgMar w:top="1304" w:right="1361" w:bottom="1304" w:left="1361" w:header="851" w:footer="992" w:gutter="0"/>
          <w:cols w:space="425" w:num="1"/>
          <w:docGrid w:type="lines" w:linePitch="312" w:charSpace="0"/>
        </w:sectPr>
      </w:pPr>
    </w:p>
    <w:p>
      <w:pPr>
        <w:adjustRightInd w:val="0"/>
        <w:snapToGrid w:val="0"/>
        <w:jc w:val="center"/>
        <w:outlineLvl w:val="0"/>
        <w:rPr>
          <w:rFonts w:hint="eastAsia" w:ascii="宋体" w:hAnsi="宋体" w:eastAsia="宋体" w:cs="宋体"/>
          <w:b/>
          <w:bCs/>
          <w:color w:val="auto"/>
          <w:sz w:val="36"/>
          <w:szCs w:val="36"/>
          <w:highlight w:val="none"/>
        </w:rPr>
      </w:pPr>
      <w:bookmarkStart w:id="0" w:name="_Toc9991"/>
      <w:r>
        <w:rPr>
          <w:rFonts w:hint="eastAsia" w:ascii="宋体" w:hAnsi="宋体" w:eastAsia="宋体" w:cs="宋体"/>
          <w:b/>
          <w:bCs/>
          <w:color w:val="auto"/>
          <w:sz w:val="36"/>
          <w:szCs w:val="36"/>
          <w:highlight w:val="none"/>
        </w:rPr>
        <w:t xml:space="preserve">第一章 </w:t>
      </w:r>
      <w:r>
        <w:rPr>
          <w:rFonts w:hint="eastAsia" w:ascii="宋体" w:hAnsi="宋体" w:eastAsia="宋体" w:cs="宋体"/>
          <w:b/>
          <w:bCs/>
          <w:color w:val="auto"/>
          <w:sz w:val="36"/>
          <w:szCs w:val="36"/>
          <w:highlight w:val="none"/>
          <w:lang w:eastAsia="zh-CN"/>
        </w:rPr>
        <w:t>比选</w:t>
      </w:r>
      <w:r>
        <w:rPr>
          <w:rFonts w:hint="eastAsia" w:ascii="宋体" w:hAnsi="宋体" w:eastAsia="宋体" w:cs="宋体"/>
          <w:b/>
          <w:bCs/>
          <w:color w:val="auto"/>
          <w:sz w:val="36"/>
          <w:szCs w:val="36"/>
          <w:highlight w:val="none"/>
        </w:rPr>
        <w:t>公告</w:t>
      </w:r>
      <w:bookmarkEnd w:id="0"/>
    </w:p>
    <w:p>
      <w:pPr>
        <w:adjustRightInd w:val="0"/>
        <w:snapToGrid w:val="0"/>
        <w:ind w:firstLine="560" w:firstLineChars="200"/>
        <w:jc w:val="left"/>
        <w:rPr>
          <w:rFonts w:hint="eastAsia" w:ascii="宋体" w:hAnsi="宋体" w:eastAsia="宋体" w:cs="宋体"/>
          <w:color w:val="auto"/>
          <w:sz w:val="28"/>
          <w:szCs w:val="36"/>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为保证会理至禄劝高速公路项目（四川境）（以下称“本项目”）工程建设的顺利开展，现由项目业主</w:t>
      </w:r>
      <w:r>
        <w:rPr>
          <w:rFonts w:hint="eastAsia" w:ascii="宋体" w:hAnsi="宋体" w:eastAsia="宋体" w:cs="宋体"/>
          <w:color w:val="auto"/>
          <w:sz w:val="24"/>
          <w:szCs w:val="24"/>
          <w:highlight w:val="none"/>
          <w:u w:val="single"/>
          <w:lang w:val="en-US" w:eastAsia="zh-CN"/>
        </w:rPr>
        <w:t>四川会禄高速公路有限公司</w:t>
      </w:r>
      <w:r>
        <w:rPr>
          <w:rFonts w:hint="eastAsia" w:ascii="宋体" w:hAnsi="宋体" w:eastAsia="宋体" w:cs="宋体"/>
          <w:color w:val="auto"/>
          <w:sz w:val="24"/>
          <w:szCs w:val="24"/>
          <w:highlight w:val="none"/>
          <w:lang w:val="en-US" w:eastAsia="zh-CN"/>
        </w:rPr>
        <w:t>作为比选人（以下简称“比选人”），对</w:t>
      </w:r>
      <w:r>
        <w:rPr>
          <w:rFonts w:hint="eastAsia" w:ascii="宋体" w:hAnsi="宋体" w:eastAsia="宋体" w:cs="宋体"/>
          <w:color w:val="auto"/>
          <w:sz w:val="24"/>
          <w:szCs w:val="24"/>
          <w:highlight w:val="none"/>
          <w:u w:val="single"/>
          <w:lang w:val="en-US" w:eastAsia="zh-CN"/>
        </w:rPr>
        <w:t>会理至禄劝高速公路项目（四川境）第三方安全技术咨询服务</w:t>
      </w:r>
      <w:r>
        <w:rPr>
          <w:rFonts w:hint="eastAsia" w:ascii="宋体" w:hAnsi="宋体" w:eastAsia="宋体" w:cs="宋体"/>
          <w:color w:val="auto"/>
          <w:sz w:val="24"/>
          <w:szCs w:val="24"/>
          <w:highlight w:val="none"/>
          <w:lang w:val="en-US" w:eastAsia="zh-CN"/>
        </w:rPr>
        <w:t>工作进行公开比选。请投标人通过了解比选公告内容后按照比选文件相关要求编制并提交比选申请文件。</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1、项目概况</w:t>
      </w:r>
    </w:p>
    <w:p>
      <w:pPr>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起点位于会东县姜州镇境内，接宜攀高速K349+160，改造宜攀高速姜州互通（单喇叭）为十字型枢纽落地互通，路线往东南经平安村、新民村，至邓家村子设置水井湾特长隧道穿越大火山，出隧道后至熊普村，后设置铁柳互通，路线总体向南连续展线降坡经观音岩、蒲草湾、柳树村、黄家庄，至小村设置金沙江特长隧道穿越白龙梁子，路线继续往东南经上进村，至大坪地村设置乌东德互通，路线继续向南于金沙江岸设置金沙江服务区，后跨越金沙江（主跨1200m悬索桥）进入云南境内，对接云南境S29皎平渡至禄劝高速公路，路线全长31.399km。全线设桥梁12842m/22座，其中特大桥5894m/3座、大桥6836m/17座、中桥112m/2座，金沙江特大桥全长2158m，主跨为1200m悬索桥；隧道11550/3座，其中特长隧道10905/2座（隧道长度均超过5km），推荐线桥隧比约77%；设一般互通立交3座，枢纽互通1座，服务区1处。</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2、比选内容及服务期限</w:t>
      </w:r>
    </w:p>
    <w:p>
      <w:pPr>
        <w:tabs>
          <w:tab w:val="left" w:pos="3990"/>
        </w:tabs>
        <w:adjustRightInd w:val="0"/>
        <w:snapToGrid w:val="0"/>
        <w:spacing w:line="360" w:lineRule="auto"/>
        <w:ind w:firstLine="482" w:firstLineChars="200"/>
        <w:jc w:val="left"/>
        <w:rPr>
          <w:rFonts w:hint="eastAsia" w:ascii="宋体" w:hAnsi="宋体" w:eastAsia="宋体" w:cs="宋体"/>
          <w:color w:val="auto"/>
          <w:sz w:val="24"/>
          <w:szCs w:val="24"/>
          <w:highlight w:val="none"/>
        </w:rPr>
      </w:pPr>
      <w:r>
        <w:rPr>
          <w:rFonts w:hint="eastAsia" w:ascii="宋体" w:hAnsi="宋体" w:eastAsia="宋体" w:cs="宋体"/>
          <w:b/>
          <w:bCs/>
          <w:color w:val="auto"/>
          <w:spacing w:val="0"/>
          <w:sz w:val="24"/>
          <w:szCs w:val="24"/>
          <w:highlight w:val="none"/>
        </w:rPr>
        <w:t xml:space="preserve">2.1 </w:t>
      </w:r>
      <w:r>
        <w:rPr>
          <w:rFonts w:hint="eastAsia" w:ascii="宋体" w:hAnsi="宋体" w:eastAsia="宋体" w:cs="宋体"/>
          <w:b/>
          <w:bCs/>
          <w:color w:val="auto"/>
          <w:spacing w:val="0"/>
          <w:sz w:val="24"/>
          <w:szCs w:val="24"/>
          <w:highlight w:val="none"/>
          <w:lang w:eastAsia="zh-CN"/>
        </w:rPr>
        <w:t>比选</w:t>
      </w:r>
      <w:r>
        <w:rPr>
          <w:rFonts w:hint="eastAsia" w:ascii="宋体" w:hAnsi="宋体" w:eastAsia="宋体" w:cs="宋体"/>
          <w:b/>
          <w:bCs/>
          <w:color w:val="auto"/>
          <w:spacing w:val="0"/>
          <w:sz w:val="24"/>
          <w:szCs w:val="24"/>
          <w:highlight w:val="none"/>
        </w:rPr>
        <w:t>范围：</w:t>
      </w:r>
      <w:r>
        <w:rPr>
          <w:rFonts w:hint="eastAsia" w:ascii="宋体" w:hAnsi="宋体" w:eastAsia="宋体" w:cs="宋体"/>
          <w:color w:val="auto"/>
          <w:sz w:val="24"/>
          <w:szCs w:val="24"/>
          <w:highlight w:val="none"/>
          <w:u w:val="single"/>
          <w:lang w:eastAsia="zh-CN"/>
        </w:rPr>
        <w:t>会理至禄劝高速公路项目（四川境）第三方安全技术咨询服务</w:t>
      </w:r>
      <w:r>
        <w:rPr>
          <w:rFonts w:hint="eastAsia" w:ascii="宋体" w:hAnsi="宋体" w:eastAsia="宋体" w:cs="宋体"/>
          <w:color w:val="auto"/>
          <w:sz w:val="24"/>
          <w:szCs w:val="24"/>
          <w:highlight w:val="none"/>
          <w:lang w:val="en-US" w:eastAsia="zh-CN"/>
        </w:rPr>
        <w:t>。</w:t>
      </w:r>
    </w:p>
    <w:p>
      <w:pPr>
        <w:spacing w:line="360" w:lineRule="auto"/>
        <w:ind w:firstLine="482" w:firstLineChars="200"/>
        <w:outlineLvl w:val="9"/>
        <w:rPr>
          <w:rFonts w:hint="eastAsia" w:ascii="宋体" w:hAnsi="宋体" w:eastAsia="宋体" w:cs="宋体"/>
          <w:b/>
          <w:bCs/>
          <w:color w:val="auto"/>
          <w:spacing w:val="0"/>
          <w:sz w:val="24"/>
          <w:szCs w:val="24"/>
          <w:highlight w:val="none"/>
        </w:rPr>
      </w:pPr>
      <w:r>
        <w:rPr>
          <w:rFonts w:hint="eastAsia" w:ascii="宋体" w:hAnsi="宋体" w:eastAsia="宋体" w:cs="宋体"/>
          <w:b/>
          <w:bCs/>
          <w:color w:val="auto"/>
          <w:spacing w:val="0"/>
          <w:sz w:val="24"/>
          <w:szCs w:val="24"/>
          <w:highlight w:val="none"/>
        </w:rPr>
        <w:t>2.2 服务内容：</w:t>
      </w:r>
      <w:r>
        <w:rPr>
          <w:rFonts w:hint="eastAsia" w:ascii="宋体" w:hAnsi="宋体" w:eastAsia="宋体" w:cs="宋体"/>
          <w:b w:val="0"/>
          <w:bCs w:val="0"/>
          <w:color w:val="auto"/>
          <w:spacing w:val="0"/>
          <w:sz w:val="24"/>
          <w:szCs w:val="24"/>
          <w:highlight w:val="none"/>
        </w:rPr>
        <w:t>会理至禄劝高速公路项目（四川境）第三方安全技术咨询服务</w:t>
      </w:r>
      <w:r>
        <w:rPr>
          <w:rFonts w:hint="eastAsia" w:ascii="宋体" w:hAnsi="宋体" w:eastAsia="宋体" w:cs="宋体"/>
          <w:b w:val="0"/>
          <w:bCs w:val="0"/>
          <w:color w:val="auto"/>
          <w:spacing w:val="0"/>
          <w:sz w:val="24"/>
          <w:szCs w:val="24"/>
          <w:highlight w:val="none"/>
          <w:lang w:eastAsia="zh-CN"/>
        </w:rPr>
        <w:t>。</w:t>
      </w:r>
      <w:r>
        <w:rPr>
          <w:rFonts w:hint="eastAsia" w:ascii="宋体" w:hAnsi="宋体" w:eastAsia="宋体" w:cs="宋体"/>
          <w:b w:val="0"/>
          <w:bCs w:val="0"/>
          <w:color w:val="auto"/>
          <w:spacing w:val="0"/>
          <w:sz w:val="24"/>
          <w:szCs w:val="24"/>
          <w:highlight w:val="none"/>
          <w:lang w:val="en-US" w:eastAsia="zh-CN"/>
        </w:rPr>
        <w:t>主要内容包括：综合安全检查、平安工地考评、安全生产教育培训、生产安全事故应急预案修编等工作，具体要求如下：</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①综合安全检查</w:t>
      </w:r>
    </w:p>
    <w:p>
      <w:pPr>
        <w:spacing w:line="360" w:lineRule="auto"/>
        <w:ind w:firstLine="480" w:firstLineChars="200"/>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服务内容：安全检查，包括内业检查和外业检查，按照“委托方”需求进行综合安全巡查，发现安全管理的薄弱环节，并进行指导、提高。每次检查前编制检查方案，检查结束后进行现场交底。提交</w:t>
      </w:r>
      <w:r>
        <w:rPr>
          <w:rFonts w:hint="eastAsia" w:ascii="宋体" w:hAnsi="宋体" w:eastAsia="宋体" w:cs="宋体"/>
          <w:color w:val="auto"/>
          <w:sz w:val="24"/>
          <w:szCs w:val="24"/>
          <w:highlight w:val="none"/>
          <w:lang w:val="en-US" w:eastAsia="zh-CN"/>
        </w:rPr>
        <w:t>成果：</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会禄</w:t>
      </w:r>
      <w:r>
        <w:rPr>
          <w:rFonts w:hint="eastAsia" w:ascii="宋体" w:hAnsi="宋体" w:eastAsia="宋体" w:cs="宋体"/>
          <w:color w:val="auto"/>
          <w:sz w:val="24"/>
          <w:szCs w:val="24"/>
          <w:highlight w:val="none"/>
        </w:rPr>
        <w:t>高速项目</w:t>
      </w:r>
      <w:r>
        <w:rPr>
          <w:rFonts w:hint="eastAsia" w:ascii="宋体" w:hAnsi="宋体" w:eastAsia="宋体" w:cs="宋体"/>
          <w:color w:val="auto"/>
          <w:sz w:val="24"/>
          <w:szCs w:val="24"/>
          <w:highlight w:val="none"/>
          <w:lang w:eastAsia="zh-CN"/>
        </w:rPr>
        <w:t>季度</w:t>
      </w:r>
      <w:r>
        <w:rPr>
          <w:rFonts w:hint="eastAsia" w:ascii="宋体" w:hAnsi="宋体" w:eastAsia="宋体" w:cs="宋体"/>
          <w:color w:val="auto"/>
          <w:sz w:val="24"/>
          <w:szCs w:val="24"/>
          <w:highlight w:val="none"/>
        </w:rPr>
        <w:t>安全综合检查报告》</w:t>
      </w:r>
      <w:r>
        <w:rPr>
          <w:rFonts w:hint="eastAsia" w:ascii="宋体" w:hAnsi="宋体" w:eastAsia="宋体" w:cs="宋体"/>
          <w:color w:val="auto"/>
          <w:sz w:val="24"/>
          <w:szCs w:val="24"/>
          <w:highlight w:val="none"/>
          <w:lang w:eastAsia="zh-CN"/>
        </w:rPr>
        <w:t>。</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②2024年度平安工地考评</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内容：根据项目实际情况和施工进度情况，组织专家成立考评组，考评组分基础管理和施工现场两个小组；按照规定的程序、频次、内容和表格，采用综合检查的方式进行综合评价；对自评发现的问题逐条提出针对性的治理措施；对扣分较多的指标及反复出现的突出问题，提出针对性</w:t>
      </w:r>
      <w:r>
        <w:rPr>
          <w:rFonts w:hint="eastAsia" w:ascii="宋体" w:hAnsi="宋体" w:eastAsia="宋体" w:cs="宋体"/>
          <w:color w:val="auto"/>
          <w:sz w:val="24"/>
          <w:szCs w:val="24"/>
          <w:highlight w:val="none"/>
          <w:lang w:eastAsia="zh-CN"/>
        </w:rPr>
        <w:t>地</w:t>
      </w:r>
      <w:r>
        <w:rPr>
          <w:rFonts w:hint="eastAsia" w:ascii="宋体" w:hAnsi="宋体" w:eastAsia="宋体" w:cs="宋体"/>
          <w:color w:val="auto"/>
          <w:sz w:val="24"/>
          <w:szCs w:val="24"/>
          <w:highlight w:val="none"/>
        </w:rPr>
        <w:t>改进建议，引导施工单位及时改进安全管理中的薄弱环节。提交</w:t>
      </w:r>
      <w:r>
        <w:rPr>
          <w:rFonts w:hint="eastAsia" w:ascii="宋体" w:hAnsi="宋体" w:eastAsia="宋体" w:cs="宋体"/>
          <w:color w:val="auto"/>
          <w:sz w:val="24"/>
          <w:szCs w:val="24"/>
          <w:highlight w:val="none"/>
          <w:lang w:val="en-US" w:eastAsia="zh-CN"/>
        </w:rPr>
        <w:t>成果：</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会禄</w:t>
      </w:r>
      <w:r>
        <w:rPr>
          <w:rFonts w:hint="eastAsia" w:ascii="宋体" w:hAnsi="宋体" w:eastAsia="宋体" w:cs="宋体"/>
          <w:color w:val="auto"/>
          <w:sz w:val="24"/>
          <w:szCs w:val="24"/>
          <w:highlight w:val="none"/>
        </w:rPr>
        <w:t>高速项目半年度平安工地检查评价报告》。</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③安全生产教育培训</w:t>
      </w:r>
    </w:p>
    <w:p>
      <w:pPr>
        <w:spacing w:line="360" w:lineRule="auto"/>
        <w:ind w:firstLine="480" w:firstLineChars="200"/>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服务内容：组织施工安全专项培训，共计 3 次。</w:t>
      </w:r>
      <w:r>
        <w:rPr>
          <w:rFonts w:hint="eastAsia" w:ascii="宋体" w:hAnsi="宋体" w:eastAsia="宋体" w:cs="宋体"/>
          <w:color w:val="auto"/>
          <w:sz w:val="24"/>
          <w:szCs w:val="24"/>
          <w:highlight w:val="none"/>
          <w:lang w:val="en-US" w:eastAsia="zh-CN"/>
        </w:rPr>
        <w:t>培训方式及时间由委托方根据要求提前3个工作日发出的通知文件为准。</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④生产安全事故应急预案修编</w:t>
      </w:r>
    </w:p>
    <w:p>
      <w:pPr>
        <w:spacing w:line="360" w:lineRule="auto"/>
        <w:ind w:firstLine="480" w:firstLineChars="200"/>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服务内容：根据《中华人民共和国安全生产法</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生产安全事故应急条例</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生产安全事故应急预案管理办法</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生产经营单位生产安全事故应急预案编制导则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公路水运工程生产安全事故应急预案》等相关法律法规以及委托方提供的有关资料和要求，修编项目公司生产安全事故应急预案。提交</w:t>
      </w:r>
      <w:r>
        <w:rPr>
          <w:rFonts w:hint="eastAsia" w:ascii="宋体" w:hAnsi="宋体" w:eastAsia="宋体" w:cs="宋体"/>
          <w:color w:val="auto"/>
          <w:sz w:val="24"/>
          <w:szCs w:val="24"/>
          <w:highlight w:val="none"/>
          <w:lang w:val="en-US" w:eastAsia="zh-CN"/>
        </w:rPr>
        <w:t>成果：</w:t>
      </w:r>
      <w:r>
        <w:rPr>
          <w:rFonts w:hint="eastAsia" w:ascii="宋体" w:hAnsi="宋体" w:eastAsia="宋体" w:cs="宋体"/>
          <w:color w:val="auto"/>
          <w:sz w:val="24"/>
          <w:szCs w:val="24"/>
          <w:highlight w:val="none"/>
        </w:rPr>
        <w:t>《生产安全事故综合应急预案》。</w:t>
      </w:r>
    </w:p>
    <w:p>
      <w:pPr>
        <w:spacing w:line="360" w:lineRule="auto"/>
        <w:ind w:firstLine="482" w:firstLineChars="200"/>
        <w:outlineLvl w:val="9"/>
        <w:rPr>
          <w:rFonts w:hint="default" w:ascii="宋体" w:hAnsi="宋体" w:eastAsia="宋体" w:cs="宋体"/>
          <w:color w:val="auto"/>
          <w:kern w:val="2"/>
          <w:sz w:val="24"/>
          <w:szCs w:val="24"/>
          <w:highlight w:val="none"/>
          <w:lang w:val="en-US" w:eastAsia="zh-CN" w:bidi="ar"/>
        </w:rPr>
      </w:pPr>
      <w:r>
        <w:rPr>
          <w:rFonts w:hint="eastAsia" w:ascii="宋体" w:hAnsi="宋体" w:eastAsia="宋体" w:cs="宋体"/>
          <w:b/>
          <w:bCs/>
          <w:color w:val="auto"/>
          <w:spacing w:val="0"/>
          <w:sz w:val="24"/>
          <w:szCs w:val="24"/>
          <w:highlight w:val="none"/>
        </w:rPr>
        <w:t>2.3 服务期限：</w:t>
      </w:r>
      <w:r>
        <w:rPr>
          <w:rFonts w:hint="eastAsia" w:ascii="宋体" w:hAnsi="宋体" w:eastAsia="宋体" w:cs="宋体"/>
          <w:color w:val="auto"/>
          <w:sz w:val="24"/>
          <w:szCs w:val="24"/>
          <w:highlight w:val="none"/>
          <w:lang w:val="en-US" w:eastAsia="zh-CN"/>
        </w:rPr>
        <w:t>自合同签订之日起12个月。。</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eastAsia="zh-CN"/>
        </w:rPr>
        <w:t>投标人</w:t>
      </w:r>
      <w:r>
        <w:rPr>
          <w:rFonts w:hint="eastAsia" w:ascii="宋体" w:hAnsi="宋体" w:eastAsia="宋体" w:cs="宋体"/>
          <w:b/>
          <w:bCs/>
          <w:color w:val="auto"/>
          <w:sz w:val="24"/>
          <w:szCs w:val="24"/>
          <w:highlight w:val="none"/>
        </w:rPr>
        <w:t>的资格要求</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 xml:space="preserve">3.1 </w:t>
      </w:r>
      <w:r>
        <w:rPr>
          <w:rFonts w:hint="eastAsia" w:ascii="宋体" w:hAnsi="宋体" w:eastAsia="宋体" w:cs="宋体"/>
          <w:b w:val="0"/>
          <w:bCs w:val="0"/>
          <w:color w:val="auto"/>
          <w:sz w:val="24"/>
          <w:szCs w:val="24"/>
          <w:highlight w:val="none"/>
          <w:lang w:val="en-US" w:eastAsia="zh-CN"/>
        </w:rPr>
        <w:t>投标人必须满足以下资格条件：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 资质要求：投标人具有独立企业法人或事业法人资格，持有有效营业执照或事业单位法人证书、基本账户开户许可证或基本存款账户信息表。在投标截止日前已纳入“全国投资项目在线监管平台”（http://www.tzxm.gov.cn/）中的“工程咨询单位名录”（投标人名称与该名录中的相应单位名称完全一致），且备案专业包含公路专业。提供营业执照副本复印件、基本账户开户许可证或基本存款账户信息表复印件以及全国投资项目在线监管平台工程咨询单位备案截图证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 业绩要求：投标人近五年（2019年1月1日至今，以合同签订时间为准）至少承担过1个公路项目施工期第三方安全咨询服务业绩。提供合同或中标通知书扫描复印件。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 项目负责人要求：具有工程类相关专业高级工程师及以上职称，提供项目负责人身份证、职称证扫描复印件以及在本单位。提供比选申请截止日当月或上月或上上个月起之前在其比选申请单位连续6个月参加养老保险的有效证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 信誉要求：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①在“信用中国”网站（www.creditchina.gov.cn）中被列入失信被执行人名单的投标人，其投标申请无效。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②在国家企业信用信息公示系统（www.gsxt.gov.cn）中被列入严重违法失信企业名单的投标人，其投标申请无效。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③投标人单位及其现任法定代表人、项目负责人近三年内（2021年1月1日至今）未被人民法院生效判决或裁定认定为行贿犯罪（提供承诺函）。</w:t>
      </w:r>
    </w:p>
    <w:p>
      <w:pPr>
        <w:adjustRightInd w:val="0"/>
        <w:snapToGrid w:val="0"/>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 xml:space="preserve">3.2 </w:t>
      </w:r>
      <w:r>
        <w:rPr>
          <w:rFonts w:hint="eastAsia" w:ascii="宋体" w:hAnsi="宋体" w:eastAsia="宋体" w:cs="宋体"/>
          <w:b w:val="0"/>
          <w:bCs w:val="0"/>
          <w:color w:val="auto"/>
          <w:sz w:val="24"/>
          <w:szCs w:val="24"/>
          <w:highlight w:val="none"/>
          <w:lang w:val="en-US" w:eastAsia="zh-CN"/>
        </w:rPr>
        <w:t>本次比选不接受联合体投标。</w:t>
      </w:r>
    </w:p>
    <w:p>
      <w:pPr>
        <w:adjustRightInd w:val="0"/>
        <w:snapToGrid w:val="0"/>
        <w:spacing w:line="360" w:lineRule="auto"/>
        <w:ind w:firstLine="482"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 xml:space="preserve">3.3 </w:t>
      </w:r>
      <w:r>
        <w:rPr>
          <w:rFonts w:hint="eastAsia" w:ascii="宋体" w:hAnsi="宋体" w:eastAsia="宋体" w:cs="宋体"/>
          <w:b w:val="0"/>
          <w:bCs w:val="0"/>
          <w:color w:val="auto"/>
          <w:sz w:val="24"/>
          <w:szCs w:val="24"/>
          <w:highlight w:val="none"/>
          <w:lang w:val="en-US" w:eastAsia="zh-CN"/>
        </w:rPr>
        <w:t>单位负责人（法定代表人）为同一人或者存在控股、管理关系的不同单位，不得同时参加同一标段的比选申请，否则相关比选申请均无效。</w:t>
      </w:r>
    </w:p>
    <w:p>
      <w:pPr>
        <w:adjustRightInd w:val="0"/>
        <w:snapToGrid w:val="0"/>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注：控股关系，是指其出资额占有限责任公司资本总额百分之五十以上的股东；出资额或者持有股份的比例虽然不足百分之五十，但依其出资额或者持有的股份所享有的表决权已足以对股东大会、股东大会的决议产生重大影响的股东。</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4.评审办法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本次比选采用资格后审，单信封形式，评审方法采用综合评分法。</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5、比选文件的获取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（1）凡有意参加比选的潜在投标人，请于2024 年6月20日至本项目比选文件截止日时间前在四川会禄高速公路有限公司网站（http://www.scyjpn.com/）上免费匿名下载比选文件及参考资料。比选人不提供其他任何报名和比选文件获取的方式。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（2）比选文件补遗书（如有）由投标人在四川会禄高速公路有限公司网站（http://www.scyjpn.com/）上下载。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投标人应在申请期间适时关注比选人指定网站，并及时下载相关内容，比选人不再另行通知。查阅下载过程如有问题或疑问请及时与比选人联系；逾期未联系的，比选人视为投标人无任何问题，或是已收到或默认已收到，否则，造成的一切后果由投标人自负。</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6、比选申请文件递交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比选申请文件送达时间为2024年6月24日10时00分至10时30分（北京时间），递交截止时间为2024年6月24日10时30分（北京时间）。投标人必须将按要求密封完好的比选申请文件以面交方式送达：四川省攀枝花市仁和区中坝乡团山村四川会禄高速公路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逾期送达的或者未送达指定地点的比选申请文件，比选人将不予受理。</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7、发布公告的媒介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本次比选公告、中选候选人公示的发布媒体为四川会禄高速公路有限公司网站（http://www.scyjpn.com/）。</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8、</w:t>
      </w:r>
      <w:bookmarkStart w:id="1" w:name="_Toc14790"/>
      <w:r>
        <w:rPr>
          <w:rFonts w:hint="eastAsia" w:ascii="宋体" w:hAnsi="宋体" w:eastAsia="宋体" w:cs="宋体"/>
          <w:b/>
          <w:bCs/>
          <w:color w:val="auto"/>
          <w:sz w:val="24"/>
          <w:szCs w:val="24"/>
          <w:highlight w:val="none"/>
          <w:lang w:val="en-US" w:eastAsia="zh-CN"/>
        </w:rPr>
        <w:t>公示及监督</w:t>
      </w:r>
      <w:bookmarkEnd w:id="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比选人将对下述内容作为公示资料进行公示：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评审委员会推荐的中选候选人的前三名名单、报价、排名、分数将公示在四川会禄高速公路有限公司网站（http://www.scyjpn.com/）上公示3日以接受社会公开监督。投标人或者其他利害关系人对评审结果有异议的，应当在中选候选人公示期间提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监督部门为比选人纪检监察部门。</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9、联系方式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比选人：四川会禄高速公路有限公司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地址：四川省凉山彝族自治州会东县鱼城街道三鑫路北二段106号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联系人：范先生</w:t>
      </w:r>
    </w:p>
    <w:p>
      <w:pPr>
        <w:ind w:firstLine="480" w:firstLineChars="200"/>
      </w:pPr>
      <w:bookmarkStart w:id="2" w:name="_GoBack"/>
      <w:bookmarkEnd w:id="2"/>
      <w:r>
        <w:rPr>
          <w:rFonts w:hint="eastAsia" w:ascii="宋体" w:hAnsi="宋体" w:eastAsia="宋体" w:cs="宋体"/>
          <w:color w:val="auto"/>
          <w:sz w:val="24"/>
          <w:szCs w:val="24"/>
          <w:highlight w:val="none"/>
          <w:lang w:val="en-US" w:eastAsia="zh-CN"/>
        </w:rPr>
        <w:t xml:space="preserve">电话：17360157261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3NGE1YWFmNTQ3MWQxZDFhZTY4ZWJmNGZhZTQ3OGMifQ=="/>
    <w:docVar w:name="KSO_WPS_MARK_KEY" w:val="13e3e936-4576-4757-b114-a34b0cf53951"/>
  </w:docVars>
  <w:rsids>
    <w:rsidRoot w:val="56A240B1"/>
    <w:rsid w:val="56A24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1"/>
    <w:basedOn w:val="1"/>
    <w:next w:val="1"/>
    <w:qFormat/>
    <w:uiPriority w:val="39"/>
    <w:pPr>
      <w:spacing w:before="120" w:after="120"/>
      <w:jc w:val="left"/>
    </w:pPr>
    <w:rPr>
      <w:rFonts w:ascii="Calibri" w:hAnsi="Calibri" w:cs="Calibri"/>
      <w:b/>
      <w:bCs/>
      <w:caps/>
      <w:sz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2024-06-24T06:51:00Z</dcterms:created>
  <dc:creator>范欣陆</dc:creator>
  <cp:lastModifiedBy>范欣陆</cp:lastModifiedBy>
  <dcterms:modified xsi:type="dcterms:W3CDTF">2024-06-24T06:52:25Z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1A12352AE8FF415F8AB9A0DE89F42F60</vt:lpwstr>
  </property>
</Properties>
</file>